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B-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半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光亮镀镍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2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sz w:val="20"/>
          <w:szCs w:val="20"/>
        </w:rPr>
        <w:t>半光亮镍是多层镍体系中的组成部分，适用于耐腐蚀性要求高的双层或多层镍电镀。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sz w:val="20"/>
          <w:szCs w:val="20"/>
        </w:rPr>
        <w:t>半光亮镍镀层中的含硫量≤0.005%，相对光亮镍镀层电位差为150-180毫伏。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sz w:val="20"/>
          <w:szCs w:val="20"/>
        </w:rPr>
        <w:t>使用半光亮镍添加剂，可以获得均匀性镀层，体系稳定，可以和不溶性阳极一起使用，最适宜于钢铁件的多层电镀镍。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  围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硫酸镍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220-280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氯化镍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30-40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35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硼酸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60开缸剂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8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 光亮剂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60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湿润剂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50-6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60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阴极电流密度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2-6.5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2-6.5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小于3.2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小于3.2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电压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2-10V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搅拌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空气搅拌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18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镀液配制方法：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1) </w:t>
      </w:r>
      <w:r>
        <w:rPr>
          <w:rFonts w:hint="default" w:ascii="微软雅黑" w:hAnsi="微软雅黑" w:eastAsia="微软雅黑" w:cs="微软雅黑"/>
          <w:sz w:val="20"/>
          <w:szCs w:val="20"/>
        </w:rPr>
        <w:t>预备缸里加入约60%的纯净水，加热至65℃，按序加入硼酸、硫酸镍、氯化镍搅拌均匀使其彻底溶解。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2) </w:t>
      </w:r>
      <w:r>
        <w:rPr>
          <w:rFonts w:hint="default" w:ascii="微软雅黑" w:hAnsi="微软雅黑" w:eastAsia="微软雅黑" w:cs="微软雅黑"/>
          <w:sz w:val="20"/>
          <w:szCs w:val="20"/>
        </w:rPr>
        <w:t>如果原材料质量欠佳，应加入1-2毫升/升双氧水（稀释后），活性碳2-5克/升，升温至60-70℃，搅拌3-5小时，静置沉淀。如果是优质镍盐和硼酸，则可不必用双氧水，活性碳处理。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3) </w:t>
      </w:r>
      <w:r>
        <w:rPr>
          <w:rFonts w:hint="default" w:ascii="微软雅黑" w:hAnsi="微软雅黑" w:eastAsia="微软雅黑" w:cs="微软雅黑"/>
          <w:sz w:val="20"/>
          <w:szCs w:val="20"/>
        </w:rPr>
        <w:t>过滤至镀缸，加入上述之计量添加剂，调整液量。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4) </w:t>
      </w:r>
      <w:r>
        <w:rPr>
          <w:rFonts w:hint="default" w:ascii="微软雅黑" w:hAnsi="微软雅黑" w:eastAsia="微软雅黑" w:cs="微软雅黑"/>
          <w:sz w:val="20"/>
          <w:szCs w:val="20"/>
        </w:rPr>
        <w:t>调整PH值，若低以碳酸镍升高，反之则以稀硫酸降低。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5) </w:t>
      </w:r>
      <w:r>
        <w:rPr>
          <w:rFonts w:hint="default" w:ascii="微软雅黑" w:hAnsi="微软雅黑" w:eastAsia="微软雅黑" w:cs="微软雅黑"/>
          <w:sz w:val="20"/>
          <w:szCs w:val="20"/>
        </w:rPr>
        <w:t>以0.15-0.4 A/dm2电流电解处理约2-3小时，即可试镀。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tabs>
          <w:tab w:val="left" w:pos="0"/>
        </w:tabs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四、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添加剂的功用</w:t>
      </w: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及消耗量</w:t>
      </w:r>
    </w:p>
    <w:tbl>
      <w:tblPr>
        <w:tblStyle w:val="6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73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cs="微软雅黑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cs="微软雅黑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 开缸剂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</w:rPr>
              <w:t>作用是提高半光亮镍层的柔软，减少应力，亦有一定辅助光亮的作用。亦可提高电位差。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消耗量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0毫升/1000安培小时。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B-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60 光亮剂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</w:rPr>
              <w:t>作用是提高镍层的光亮和整平度，一般补充时使用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。</w:t>
            </w:r>
          </w:p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消耗量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0-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0毫升/1000安培小时。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湿润剂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作用是改善镀层湿润状况，以减免氢气在镀层上的滞留。</w:t>
            </w:r>
          </w:p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根据工件带出情况适量补充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五、注意事项：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1) </w:t>
      </w:r>
      <w:r>
        <w:rPr>
          <w:rFonts w:hint="default" w:ascii="微软雅黑" w:hAnsi="微软雅黑" w:eastAsia="微软雅黑" w:cs="微软雅黑"/>
          <w:sz w:val="20"/>
          <w:szCs w:val="20"/>
        </w:rPr>
        <w:t>半光亮镍电解液中，切忌不要混入含硫物质，如光亮镍、高硫镍添加剂，不要随意添加含硫的除杂剂。当有Cu2+、Zn2+、Fe3+杂质时，最好用0.1-0.4 A/d㎡电解处理。否则造成耐蚀和物理性能下降。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2) </w:t>
      </w:r>
      <w:r>
        <w:rPr>
          <w:rFonts w:hint="default" w:ascii="微软雅黑" w:hAnsi="微软雅黑" w:eastAsia="微软雅黑" w:cs="微软雅黑"/>
          <w:sz w:val="20"/>
          <w:szCs w:val="20"/>
        </w:rPr>
        <w:t>从其它体系的半光亮镍切换到电解液时，根据有成分和污染程度，待我司进行实验后，将提供适当的方法和条件。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3) </w:t>
      </w:r>
      <w:r>
        <w:rPr>
          <w:rFonts w:hint="default" w:ascii="微软雅黑" w:hAnsi="微软雅黑" w:eastAsia="微软雅黑" w:cs="微软雅黑"/>
          <w:sz w:val="20"/>
          <w:szCs w:val="20"/>
        </w:rPr>
        <w:t>在特殊条件下使用我司产品时，要实施适当的安全对策，其他不明之处，请联系我司。</w:t>
      </w:r>
    </w:p>
    <w:p>
      <w:pPr>
        <w:rPr>
          <w:rFonts w:hint="default" w:ascii="Arial" w:hAnsi="Arial" w:cs="Arial"/>
          <w:sz w:val="24"/>
        </w:rPr>
      </w:pPr>
    </w:p>
    <w:p>
      <w:pPr>
        <w:spacing w:line="360" w:lineRule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FGpV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LVEgMPVAAAABQEA&#10;AA8AAAAAAAAAAQAgAAAAIgAAAGRycy9kb3ducmV2LnhtbFBLAQIUABQAAAAIAIdO4kBN/4zOyQQA&#10;AEYPAAAOAAAAAAAAAAEAIAAAACQBAABkcnMvZTJvRG9jLnhtbFBLBQYAAAAABgAGAFkBAABfCAAA&#10;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+yPDe1QAA&#10;AAUBAAAPAAAAAAAAAAEAIAAAACIAAABkcnMvZG93bnJldi54bWxQSwECFAAUAAAACACHTuJAbdJV&#10;vXgFAAD0EgAADgAAAAAAAAABACAAAAAkAQAAZHJzL2Uyb0RvYy54bWxQSwUGAAAAAAYABgBZAQAA&#10;DgkAAAAA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8F4A7"/>
    <w:multiLevelType w:val="singleLevel"/>
    <w:tmpl w:val="D578F4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CF61538"/>
    <w:rsid w:val="0E8E5A84"/>
    <w:rsid w:val="0EA64C7A"/>
    <w:rsid w:val="0FCF5D91"/>
    <w:rsid w:val="119016DC"/>
    <w:rsid w:val="1294642E"/>
    <w:rsid w:val="13190F31"/>
    <w:rsid w:val="176E3032"/>
    <w:rsid w:val="18D60CA8"/>
    <w:rsid w:val="1ADB26E0"/>
    <w:rsid w:val="1D9B3BFA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CF04BAE"/>
    <w:rsid w:val="2ED34A51"/>
    <w:rsid w:val="2F2C5F34"/>
    <w:rsid w:val="2F64491A"/>
    <w:rsid w:val="30B62DAB"/>
    <w:rsid w:val="31490DC1"/>
    <w:rsid w:val="31983D50"/>
    <w:rsid w:val="33A50BFF"/>
    <w:rsid w:val="36B761C1"/>
    <w:rsid w:val="38264DE6"/>
    <w:rsid w:val="38302381"/>
    <w:rsid w:val="391B6268"/>
    <w:rsid w:val="3AD80C01"/>
    <w:rsid w:val="3CA12A27"/>
    <w:rsid w:val="3E915CDA"/>
    <w:rsid w:val="40844377"/>
    <w:rsid w:val="41B1522C"/>
    <w:rsid w:val="44832C0F"/>
    <w:rsid w:val="46764E15"/>
    <w:rsid w:val="47080420"/>
    <w:rsid w:val="48073562"/>
    <w:rsid w:val="481B3CE2"/>
    <w:rsid w:val="48256AFA"/>
    <w:rsid w:val="4870087F"/>
    <w:rsid w:val="48707D01"/>
    <w:rsid w:val="48777307"/>
    <w:rsid w:val="497A15EA"/>
    <w:rsid w:val="4BA94DF4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8728C7"/>
    <w:rsid w:val="53EB732C"/>
    <w:rsid w:val="54233C8F"/>
    <w:rsid w:val="55E020CB"/>
    <w:rsid w:val="576D10C3"/>
    <w:rsid w:val="5A0702CA"/>
    <w:rsid w:val="5D534259"/>
    <w:rsid w:val="5E0D44A7"/>
    <w:rsid w:val="5E29703A"/>
    <w:rsid w:val="5E5E30FA"/>
    <w:rsid w:val="60374617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E1D7161"/>
    <w:rsid w:val="6E4A4F77"/>
    <w:rsid w:val="6E8874CD"/>
    <w:rsid w:val="72496094"/>
    <w:rsid w:val="74B74ECD"/>
    <w:rsid w:val="751B4667"/>
    <w:rsid w:val="77957185"/>
    <w:rsid w:val="786B3E9B"/>
    <w:rsid w:val="78FD3287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0</TotalTime>
  <ScaleCrop>false</ScaleCrop>
  <LinksUpToDate>false</LinksUpToDate>
  <CharactersWithSpaces>827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2020-11-23T05:42:47Z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